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5D" w:rsidRPr="00D0525D" w:rsidRDefault="00D0525D" w:rsidP="00D0525D">
      <w:pPr>
        <w:pBdr>
          <w:bottom w:val="single" w:sz="12" w:space="4" w:color="E67E22"/>
        </w:pBdr>
        <w:shd w:val="clear" w:color="auto" w:fill="FFFFFF"/>
        <w:spacing w:line="495" w:lineRule="atLeast"/>
        <w:outlineLvl w:val="1"/>
        <w:rPr>
          <w:rFonts w:ascii="Open Sans" w:eastAsia="Times New Roman" w:hAnsi="Open Sans" w:cs="Open Sans"/>
          <w:color w:val="555555"/>
          <w:sz w:val="33"/>
          <w:szCs w:val="33"/>
          <w:lang w:eastAsia="nb-NO"/>
        </w:rPr>
      </w:pPr>
      <w:proofErr w:type="spellStart"/>
      <w:r w:rsidRPr="00D0525D">
        <w:rPr>
          <w:rFonts w:ascii="Open Sans" w:eastAsia="Times New Roman" w:hAnsi="Open Sans" w:cs="Open Sans"/>
          <w:color w:val="555555"/>
          <w:sz w:val="33"/>
          <w:szCs w:val="33"/>
          <w:lang w:eastAsia="nb-NO"/>
        </w:rPr>
        <w:t>Building</w:t>
      </w:r>
      <w:proofErr w:type="spellEnd"/>
      <w:r w:rsidRPr="00D0525D">
        <w:rPr>
          <w:rFonts w:ascii="Open Sans" w:eastAsia="Times New Roman" w:hAnsi="Open Sans" w:cs="Open Sans"/>
          <w:color w:val="555555"/>
          <w:sz w:val="33"/>
          <w:szCs w:val="33"/>
          <w:lang w:eastAsia="nb-NO"/>
        </w:rPr>
        <w:t xml:space="preserve"> </w:t>
      </w:r>
      <w:proofErr w:type="spellStart"/>
      <w:r w:rsidRPr="00D0525D">
        <w:rPr>
          <w:rFonts w:ascii="Open Sans" w:eastAsia="Times New Roman" w:hAnsi="Open Sans" w:cs="Open Sans"/>
          <w:color w:val="555555"/>
          <w:sz w:val="33"/>
          <w:szCs w:val="33"/>
          <w:lang w:eastAsia="nb-NO"/>
        </w:rPr>
        <w:t>specifications</w:t>
      </w:r>
      <w:proofErr w:type="spellEnd"/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CONSTRUCTION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STRUCTURE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Structure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formed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pillars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joists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out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reinforced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concrete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slab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floors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concrete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joists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arched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lightened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concrete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bricks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as to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technical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project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SURFACING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TILING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Wall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tiling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kitchen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bathrooms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ceramic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tiles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top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brands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leading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manufacturers</w:t>
      </w:r>
      <w:proofErr w:type="spellEnd"/>
    </w:p>
    <w:p w:rsidR="00D0525D" w:rsidRPr="00D0525D" w:rsidRDefault="00D0525D" w:rsidP="00D0525D">
      <w:pPr>
        <w:shd w:val="clear" w:color="auto" w:fill="FFFFFF"/>
        <w:spacing w:before="24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FLOOR TILES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ELECTRICAL FITTINGS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GENERAL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Fitted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electrical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installation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carried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out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accordance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electronic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regulations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low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tension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first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quality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make fuse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box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prepared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contracting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9,2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kw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as to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technical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project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SWITCHES AND SOCKETS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Electrical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socket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boxes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white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ivory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, by SIMON series 75 or JUNG series LS 990.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PLUMBING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GENERAL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Hot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cold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water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installation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embedded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piping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compliance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current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applicable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regulations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closed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loop hot water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circuit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main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shutoff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valve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independent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shutoff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valves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each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bathroom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SANITARY HOT WATER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-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WASHINGMACHINE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Washing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machine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connection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, as to plan.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DISHWASHER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Dishwasher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connection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kitchen</w:t>
      </w:r>
      <w:proofErr w:type="spellEnd"/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SANITARY WARE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Bathroom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fittings series MERIDIAN by ROCA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white</w:t>
      </w:r>
      <w:proofErr w:type="spellEnd"/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BATHTUB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Bathtub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model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PRINCESS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out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steel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170x70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white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ROCA.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SHOWERBASE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Shower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basin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model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MALTA 80x80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white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ROCA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lastRenderedPageBreak/>
        <w:t>BATHROOM FITTINGS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Bathroom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taps series VICTORIA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chroming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finish by ROCA.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BATHROOM ACCESSORIES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ONDA PLUS by ROCA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bathroom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accessories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white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: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towel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rail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toilet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paper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holder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coat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hook.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KITCHEN SINK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Kitchen sink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out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stainless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steel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model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J80 by ROCA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two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basins</w:t>
      </w:r>
      <w:proofErr w:type="spellEnd"/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KITCHEN FITTINGS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Sink tap series VICTORIA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chroming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finish by ROCA.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KITCHEN FITTINGS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KITCHEN FURNITURE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Kitchen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furniture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comprising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made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-to-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measure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modules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wall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hung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cabinets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base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cabinets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doors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drawer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laminated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polylaminated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melamine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fronts,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melamine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cupboard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rears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standard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knobs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or </w:t>
      </w:r>
      <w:proofErr w:type="gram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handles.[</w:t>
      </w:r>
      <w:proofErr w:type="gram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Series 1-5]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WORKTOPS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Silestone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worktop</w:t>
      </w:r>
      <w:proofErr w:type="spellEnd"/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ELECTRICAL HOUSEHOLD APPLIANCES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GENERAL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-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AIR CONDITIONING AND HEATING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AIR CONDITIONING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Pre-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installation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for Air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Conditioning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Split units,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consisting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installation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from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sanitary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underbuild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house up to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living-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room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bedrooms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pipes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refrigeration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drainage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connections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corrugated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pipe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future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ele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HEATING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Preinstallation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central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heating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radiators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inside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house, as to plan.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TELECOMMUNICATION INSTALLATION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TELEVISION (TV)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Television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connection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lead by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cable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to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UAP from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lounge and master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bedroom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, as to plan.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TELEPHONE (TF)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Telephone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connection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lead by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cable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to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UAP from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lounge and master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bedroom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, as to plan.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OTHER INSTALLATIONS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ALARM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Alarm system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consisting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basic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Kit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installation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formed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central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alarm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box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anti-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sabotage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protection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detector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keyboard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control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2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movement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detectors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remote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control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posible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connection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gram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to alarm</w:t>
      </w:r>
      <w:proofErr w:type="gram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reply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centre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lastRenderedPageBreak/>
        <w:t>EXTERIOR CARPENTRY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GENERAL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MAIN DOOR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ROLLERSHUTTERS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Plastic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rollerblinds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bedroom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windows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INTERIOR CARPENTRY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WARDROBES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ROOMDOORS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Interior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door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designer style to be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lacquered</w:t>
      </w:r>
      <w:proofErr w:type="spellEnd"/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INSURANCES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BUILDING INSURANCE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Free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1st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year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building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insurance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policy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INSURANCE FOR 10 YEARS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The house has an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insurance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that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guarantees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any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damage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made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to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house due to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faults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flaws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caused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affecting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foundations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structure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building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that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threaten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resistance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safety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for a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period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10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years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WARRANTIES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Warranty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amounts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money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handed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over by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client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means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 bank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guarantee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consolidation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policy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issued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an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important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bank 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insurance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company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75" w:after="150" w:line="300" w:lineRule="atLeast"/>
        <w:outlineLvl w:val="4"/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</w:pPr>
      <w:r w:rsidRPr="00D0525D">
        <w:rPr>
          <w:rFonts w:ascii="Open Sans" w:eastAsia="Times New Roman" w:hAnsi="Open Sans" w:cs="Open Sans"/>
          <w:color w:val="555555"/>
          <w:sz w:val="21"/>
          <w:szCs w:val="21"/>
          <w:lang w:eastAsia="nb-NO"/>
        </w:rPr>
        <w:t>OTHERS</w:t>
      </w:r>
    </w:p>
    <w:p w:rsidR="00D0525D" w:rsidRPr="00D0525D" w:rsidRDefault="00D0525D" w:rsidP="00D052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CUSTOMER SERVICE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Personalized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follow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-up service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client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from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contract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signing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until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conclusion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guarantee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period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Inspection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handing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over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keys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accompanying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client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providing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customized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service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several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languages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VAPFNET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Private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access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intranet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for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clients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thought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to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provide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more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information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transparency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during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purchase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process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your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house,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where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you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will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find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data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your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house,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pictures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construction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development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can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look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up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signed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contracts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, ....</w:t>
      </w:r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DOCUMENTATION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Building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project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Safety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Health Plan, Construction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Permit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, Construction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Completion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Certificate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Architect, First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Occupancy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Certificate</w:t>
      </w:r>
      <w:proofErr w:type="spellEnd"/>
    </w:p>
    <w:p w:rsidR="00D0525D" w:rsidRPr="00D0525D" w:rsidRDefault="00D0525D" w:rsidP="00D0525D">
      <w:pPr>
        <w:shd w:val="clear" w:color="auto" w:fill="FFFFFF"/>
        <w:spacing w:before="240" w:after="0" w:line="240" w:lineRule="auto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nb-NO"/>
        </w:rPr>
        <w:t>ALL INCLUSIVE SERVICES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Execution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fees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mains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different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supplies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connections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Cession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property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 right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water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Installation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 water meter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Management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Inspection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visit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by Iberdrola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lastRenderedPageBreak/>
        <w:t xml:space="preserve">Management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fees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Industry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Inspection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(gas) (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if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this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applies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)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Management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direct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debiting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water,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electricity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community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receipts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Electricity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and water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consumption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bills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since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handover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apartment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until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both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supplies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are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contracted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behalf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client</w:t>
      </w:r>
      <w:proofErr w:type="spellEnd"/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Management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Registration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Land Registry.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Payment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refuse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collection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tax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year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title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deed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signing.</w:t>
      </w:r>
    </w:p>
    <w:p w:rsidR="00D0525D" w:rsidRPr="00D0525D" w:rsidRDefault="00D0525D" w:rsidP="00D0525D">
      <w:pPr>
        <w:shd w:val="clear" w:color="auto" w:fill="FFFFFF"/>
        <w:spacing w:before="120" w:after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Payment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Yearly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Property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Tax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year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title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deed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signing.</w:t>
      </w:r>
    </w:p>
    <w:p w:rsidR="00D0525D" w:rsidRPr="00D0525D" w:rsidRDefault="00D0525D" w:rsidP="00D0525D">
      <w:pPr>
        <w:shd w:val="clear" w:color="auto" w:fill="FFFFFF"/>
        <w:spacing w:before="120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Payment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homeowners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fees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(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community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of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owners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previously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existing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)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year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in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which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the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deed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 xml:space="preserve"> is </w:t>
      </w:r>
      <w:proofErr w:type="spellStart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signed</w:t>
      </w:r>
      <w:proofErr w:type="spellEnd"/>
      <w:r w:rsidRPr="00D0525D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.</w:t>
      </w:r>
    </w:p>
    <w:p w:rsidR="00BE36ED" w:rsidRDefault="00BE36ED">
      <w:bookmarkStart w:id="0" w:name="_GoBack"/>
      <w:bookmarkEnd w:id="0"/>
    </w:p>
    <w:sectPr w:rsidR="00BE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5D"/>
    <w:rsid w:val="00BE36ED"/>
    <w:rsid w:val="00D0525D"/>
    <w:rsid w:val="00F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466D-45B0-48C5-9979-75700007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07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74602794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1880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726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76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38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019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445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6141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609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26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96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4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60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784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Mentzoni Eng</dc:creator>
  <cp:keywords/>
  <dc:description/>
  <cp:lastModifiedBy>Maria Mentzoni Eng</cp:lastModifiedBy>
  <cp:revision>1</cp:revision>
  <dcterms:created xsi:type="dcterms:W3CDTF">2019-08-12T12:51:00Z</dcterms:created>
  <dcterms:modified xsi:type="dcterms:W3CDTF">2019-08-12T17:14:00Z</dcterms:modified>
</cp:coreProperties>
</file>